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CAAD" w14:textId="77777777" w:rsidR="0003350C" w:rsidRPr="0003350C" w:rsidRDefault="0003350C" w:rsidP="0003350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 xml:space="preserve">Riskanalys: Arbete med </w:t>
      </w:r>
      <w:proofErr w:type="spellStart"/>
      <w:r w:rsidRPr="0003350C">
        <w:rPr>
          <w:rFonts w:ascii="Calibri" w:eastAsia="Times New Roman" w:hAnsi="Calibri" w:cs="Calibri"/>
          <w:b/>
          <w:bCs/>
          <w:kern w:val="0"/>
          <w:sz w:val="28"/>
          <w:szCs w:val="28"/>
          <w:lang w:eastAsia="sv-SE"/>
          <w14:ligatures w14:val="none"/>
        </w:rPr>
        <w:t>Röjsåg</w:t>
      </w:r>
      <w:proofErr w:type="spellEnd"/>
    </w:p>
    <w:p w14:paraId="766AF6A4" w14:textId="77777777" w:rsid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Företag: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CynerG Group AB </w:t>
      </w:r>
    </w:p>
    <w:p w14:paraId="06A11E64" w14:textId="77777777" w:rsid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Projekt/Arbetsområde: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[Fylls i för varje specifikt uppdrag] </w:t>
      </w:r>
    </w:p>
    <w:p w14:paraId="19AFBEF2" w14:textId="77777777" w:rsid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Datum: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[Fylls i för varje specifikt uppdrag] </w:t>
      </w:r>
    </w:p>
    <w:p w14:paraId="04A9F7C3" w14:textId="6E1794AE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Version: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1.0</w:t>
      </w:r>
    </w:p>
    <w:p w14:paraId="0792AE10" w14:textId="77777777" w:rsidR="0003350C" w:rsidRP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Inledning</w:t>
      </w:r>
    </w:p>
    <w:p w14:paraId="212C5476" w14:textId="77777777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Denna riskanalys utgör en grundläggande del av CynerG Group AB:s systematiska säkerhetsarbete. Syftet är att identifiera, bedöma och hantera de risker som är förknippade med röjning av sly, buskar och mindre träd med </w:t>
      </w:r>
      <w:proofErr w:type="spellStart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röjsåg</w:t>
      </w:r>
      <w:proofErr w:type="spellEnd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. Dokumentet ska användas som ett aktivt verktyg i planeringsstadiet och under utförandet av alla relevanta arbetsuppgifter för att säkerställa en trygg och säker arbetsmiljö.</w:t>
      </w:r>
    </w:p>
    <w:p w14:paraId="3CB0F2A2" w14:textId="77777777" w:rsidR="0003350C" w:rsidRP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1. Identifiering av Faror</w:t>
      </w:r>
    </w:p>
    <w:p w14:paraId="6B58FA6E" w14:textId="77777777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Följande faror har identifierats i samband med arbetsuppgiften:</w:t>
      </w:r>
    </w:p>
    <w:p w14:paraId="4F8C3609" w14:textId="77777777" w:rsidR="0003350C" w:rsidRPr="0003350C" w:rsidRDefault="0003350C" w:rsidP="000335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Verktygsrelaterade faror:</w:t>
      </w:r>
    </w:p>
    <w:p w14:paraId="5101DCA6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Skärskador från klinga/trimmerhuvud.</w:t>
      </w:r>
    </w:p>
    <w:p w14:paraId="4F7A9CED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Kast av föremål (stenar, grenar) från det roterande skärverktyget.</w:t>
      </w:r>
    </w:p>
    <w:p w14:paraId="2DE31B06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Buller från motorn som kan leda till hörselskador.</w:t>
      </w:r>
    </w:p>
    <w:p w14:paraId="7C90705F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Vibrationer från maskinen som kan leda till skador i händer och armar.</w:t>
      </w:r>
    </w:p>
    <w:p w14:paraId="4C33D962" w14:textId="77777777" w:rsidR="0003350C" w:rsidRPr="0003350C" w:rsidRDefault="0003350C" w:rsidP="000335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Ergonomiska risker:</w:t>
      </w:r>
    </w:p>
    <w:p w14:paraId="7C275B97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Belastningsskador på rygg och leder från verktygets vikt och obekväma arbetsställningar.</w:t>
      </w:r>
    </w:p>
    <w:p w14:paraId="0CF1ABA4" w14:textId="77777777" w:rsidR="0003350C" w:rsidRPr="0003350C" w:rsidRDefault="0003350C" w:rsidP="000335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Omgivningsfaktorer:</w:t>
      </w:r>
    </w:p>
    <w:p w14:paraId="2E5268C1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Fallande grenar eller mindre träd under röjningsarbetet.</w:t>
      </w:r>
    </w:p>
    <w:p w14:paraId="2A89741B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Väderförhållanden som regn (halkrisk) eller hård vind (svårkontrollerat arbete).</w:t>
      </w:r>
    </w:p>
    <w:p w14:paraId="7637E7ED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Fästingar och andra insektsbett.</w:t>
      </w:r>
    </w:p>
    <w:p w14:paraId="59C9712C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Brandrisk vid arbete i torra miljöer.</w:t>
      </w:r>
    </w:p>
    <w:p w14:paraId="20078B6A" w14:textId="77777777" w:rsidR="0003350C" w:rsidRPr="0003350C" w:rsidRDefault="0003350C" w:rsidP="000335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Interaktion med allmänhet/tredje part:</w:t>
      </w:r>
    </w:p>
    <w:p w14:paraId="5C7C2099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Personer (vandrare, bärplockare etc.) som ovetandes kommer in i riskområdet och riskerar att träffas av kastade föremål.</w:t>
      </w:r>
    </w:p>
    <w:p w14:paraId="20FB652D" w14:textId="77777777" w:rsidR="0003350C" w:rsidRPr="0003350C" w:rsidRDefault="0003350C" w:rsidP="000335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Organisatoriska faktorer:</w:t>
      </w:r>
    </w:p>
    <w:p w14:paraId="67652FC9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Ensamarbete och svårigheter att tillkalla hjälp vid en olycka.</w:t>
      </w:r>
    </w:p>
    <w:p w14:paraId="2FE713F4" w14:textId="77777777" w:rsidR="0003350C" w:rsidRPr="0003350C" w:rsidRDefault="0003350C" w:rsidP="000335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Bristande kommunikation mellan medarbetare på arbetsplatsen.</w:t>
      </w:r>
    </w:p>
    <w:p w14:paraId="71554302" w14:textId="77777777" w:rsid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</w:p>
    <w:p w14:paraId="52964024" w14:textId="77777777" w:rsid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</w:p>
    <w:p w14:paraId="2ABE54BC" w14:textId="77777777" w:rsid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</w:p>
    <w:p w14:paraId="4DAD8545" w14:textId="77777777" w:rsid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</w:p>
    <w:p w14:paraId="354788AE" w14:textId="77777777" w:rsid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</w:p>
    <w:p w14:paraId="4EF53AA0" w14:textId="14DE7552" w:rsidR="0003350C" w:rsidRP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lastRenderedPageBreak/>
        <w:t>2. Bedömning av Risker</w:t>
      </w:r>
    </w:p>
    <w:p w14:paraId="30D6F4CD" w14:textId="77777777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Riskerna har bedömts utifrån sannolikhet och konsekvens.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985"/>
        <w:gridCol w:w="1417"/>
      </w:tblGrid>
      <w:tr w:rsidR="0003350C" w:rsidRPr="0003350C" w14:paraId="6929FE25" w14:textId="77777777" w:rsidTr="0003350C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417A2CCC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  <w:t>Fara</w:t>
            </w:r>
          </w:p>
        </w:tc>
        <w:tc>
          <w:tcPr>
            <w:tcW w:w="1529" w:type="dxa"/>
            <w:vAlign w:val="center"/>
            <w:hideMark/>
          </w:tcPr>
          <w:p w14:paraId="07155D2A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  <w:t>Sannolikhet</w:t>
            </w:r>
          </w:p>
        </w:tc>
        <w:tc>
          <w:tcPr>
            <w:tcW w:w="1955" w:type="dxa"/>
            <w:vAlign w:val="center"/>
            <w:hideMark/>
          </w:tcPr>
          <w:p w14:paraId="59A3B992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  <w:t>Konsekvens</w:t>
            </w:r>
          </w:p>
        </w:tc>
        <w:tc>
          <w:tcPr>
            <w:tcW w:w="1372" w:type="dxa"/>
            <w:vAlign w:val="center"/>
            <w:hideMark/>
          </w:tcPr>
          <w:p w14:paraId="79130168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highlight w:val="cyan"/>
                <w:lang w:eastAsia="sv-SE"/>
                <w14:ligatures w14:val="none"/>
              </w:rPr>
              <w:t>Risknivå</w:t>
            </w:r>
          </w:p>
        </w:tc>
      </w:tr>
      <w:tr w:rsidR="0003350C" w:rsidRPr="0003350C" w14:paraId="4E6FE95C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0B07CBF4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Kast av föremål</w:t>
            </w:r>
          </w:p>
        </w:tc>
        <w:tc>
          <w:tcPr>
            <w:tcW w:w="1529" w:type="dxa"/>
            <w:vAlign w:val="center"/>
            <w:hideMark/>
          </w:tcPr>
          <w:p w14:paraId="45280271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  <w:tc>
          <w:tcPr>
            <w:tcW w:w="1955" w:type="dxa"/>
            <w:vAlign w:val="center"/>
            <w:hideMark/>
          </w:tcPr>
          <w:p w14:paraId="2AF288BC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372" w:type="dxa"/>
            <w:vAlign w:val="center"/>
            <w:hideMark/>
          </w:tcPr>
          <w:p w14:paraId="35746C6A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</w:tr>
      <w:tr w:rsidR="0003350C" w:rsidRPr="0003350C" w14:paraId="0AFFF61D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65859DF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Skärskador från </w:t>
            </w:r>
            <w:proofErr w:type="spellStart"/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röjsåg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767C859E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955" w:type="dxa"/>
            <w:vAlign w:val="center"/>
            <w:hideMark/>
          </w:tcPr>
          <w:p w14:paraId="221EF4CA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Allvarlig</w:t>
            </w:r>
          </w:p>
        </w:tc>
        <w:tc>
          <w:tcPr>
            <w:tcW w:w="1372" w:type="dxa"/>
            <w:vAlign w:val="center"/>
            <w:hideMark/>
          </w:tcPr>
          <w:p w14:paraId="18A19C90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</w:tr>
      <w:tr w:rsidR="0003350C" w:rsidRPr="0003350C" w14:paraId="4507191D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8917A0C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Belastningsskador</w:t>
            </w:r>
          </w:p>
        </w:tc>
        <w:tc>
          <w:tcPr>
            <w:tcW w:w="1529" w:type="dxa"/>
            <w:vAlign w:val="center"/>
            <w:hideMark/>
          </w:tcPr>
          <w:p w14:paraId="2003EB17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  <w:tc>
          <w:tcPr>
            <w:tcW w:w="1955" w:type="dxa"/>
            <w:vAlign w:val="center"/>
            <w:hideMark/>
          </w:tcPr>
          <w:p w14:paraId="515E84D5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372" w:type="dxa"/>
            <w:vAlign w:val="center"/>
            <w:hideMark/>
          </w:tcPr>
          <w:p w14:paraId="321AB10D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</w:tr>
      <w:tr w:rsidR="0003350C" w:rsidRPr="0003350C" w14:paraId="392ECDF4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C5B3BC3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Buller</w:t>
            </w:r>
          </w:p>
        </w:tc>
        <w:tc>
          <w:tcPr>
            <w:tcW w:w="1529" w:type="dxa"/>
            <w:vAlign w:val="center"/>
            <w:hideMark/>
          </w:tcPr>
          <w:p w14:paraId="13107398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  <w:tc>
          <w:tcPr>
            <w:tcW w:w="1955" w:type="dxa"/>
            <w:vAlign w:val="center"/>
            <w:hideMark/>
          </w:tcPr>
          <w:p w14:paraId="792F5A31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Allvarlig</w:t>
            </w:r>
          </w:p>
        </w:tc>
        <w:tc>
          <w:tcPr>
            <w:tcW w:w="1372" w:type="dxa"/>
            <w:vAlign w:val="center"/>
            <w:hideMark/>
          </w:tcPr>
          <w:p w14:paraId="28A4110C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</w:tr>
      <w:tr w:rsidR="0003350C" w:rsidRPr="0003350C" w14:paraId="6482A3C4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39FE640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Interaktion med allmänhet/tredje part</w:t>
            </w:r>
          </w:p>
        </w:tc>
        <w:tc>
          <w:tcPr>
            <w:tcW w:w="1529" w:type="dxa"/>
            <w:vAlign w:val="center"/>
            <w:hideMark/>
          </w:tcPr>
          <w:p w14:paraId="38511292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955" w:type="dxa"/>
            <w:vAlign w:val="center"/>
            <w:hideMark/>
          </w:tcPr>
          <w:p w14:paraId="19424568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Allvarlig</w:t>
            </w:r>
          </w:p>
        </w:tc>
        <w:tc>
          <w:tcPr>
            <w:tcW w:w="1372" w:type="dxa"/>
            <w:vAlign w:val="center"/>
            <w:hideMark/>
          </w:tcPr>
          <w:p w14:paraId="1E6D5C82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Hög</w:t>
            </w:r>
          </w:p>
        </w:tc>
      </w:tr>
      <w:tr w:rsidR="0003350C" w:rsidRPr="0003350C" w14:paraId="6A01759F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02D18D6B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Vibrationer</w:t>
            </w:r>
          </w:p>
        </w:tc>
        <w:tc>
          <w:tcPr>
            <w:tcW w:w="1529" w:type="dxa"/>
            <w:vAlign w:val="center"/>
            <w:hideMark/>
          </w:tcPr>
          <w:p w14:paraId="3C2AF4F9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955" w:type="dxa"/>
            <w:vAlign w:val="center"/>
            <w:hideMark/>
          </w:tcPr>
          <w:p w14:paraId="5704C9A7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  <w:tc>
          <w:tcPr>
            <w:tcW w:w="1372" w:type="dxa"/>
            <w:vAlign w:val="center"/>
            <w:hideMark/>
          </w:tcPr>
          <w:p w14:paraId="6DB8EA4D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</w:tr>
      <w:tr w:rsidR="0003350C" w:rsidRPr="0003350C" w14:paraId="4456CA90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50A3318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Ensamarbete</w:t>
            </w:r>
          </w:p>
        </w:tc>
        <w:tc>
          <w:tcPr>
            <w:tcW w:w="1529" w:type="dxa"/>
            <w:vAlign w:val="center"/>
            <w:hideMark/>
          </w:tcPr>
          <w:p w14:paraId="035713DD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Låg</w:t>
            </w:r>
          </w:p>
        </w:tc>
        <w:tc>
          <w:tcPr>
            <w:tcW w:w="1955" w:type="dxa"/>
            <w:vAlign w:val="center"/>
            <w:hideMark/>
          </w:tcPr>
          <w:p w14:paraId="3EA1A73A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Mycket allvarlig</w:t>
            </w:r>
          </w:p>
        </w:tc>
        <w:tc>
          <w:tcPr>
            <w:tcW w:w="1372" w:type="dxa"/>
            <w:vAlign w:val="center"/>
            <w:hideMark/>
          </w:tcPr>
          <w:p w14:paraId="5A9940C6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Medel</w:t>
            </w:r>
          </w:p>
        </w:tc>
      </w:tr>
      <w:tr w:rsidR="0003350C" w:rsidRPr="0003350C" w14:paraId="65647265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0A5DFF6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Fallande grenar/små träd</w:t>
            </w:r>
          </w:p>
        </w:tc>
        <w:tc>
          <w:tcPr>
            <w:tcW w:w="1529" w:type="dxa"/>
            <w:vAlign w:val="center"/>
            <w:hideMark/>
          </w:tcPr>
          <w:p w14:paraId="068DBE8E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Låg</w:t>
            </w:r>
          </w:p>
        </w:tc>
        <w:tc>
          <w:tcPr>
            <w:tcW w:w="1955" w:type="dxa"/>
            <w:vAlign w:val="center"/>
            <w:hideMark/>
          </w:tcPr>
          <w:p w14:paraId="06D40D6E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Allvarlig</w:t>
            </w:r>
          </w:p>
        </w:tc>
        <w:tc>
          <w:tcPr>
            <w:tcW w:w="1372" w:type="dxa"/>
            <w:vAlign w:val="center"/>
            <w:hideMark/>
          </w:tcPr>
          <w:p w14:paraId="1013DF26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Låg</w:t>
            </w:r>
          </w:p>
        </w:tc>
      </w:tr>
      <w:tr w:rsidR="0003350C" w:rsidRPr="0003350C" w14:paraId="4EC587E7" w14:textId="77777777" w:rsidTr="0003350C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985725E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Brandrisk</w:t>
            </w:r>
          </w:p>
        </w:tc>
        <w:tc>
          <w:tcPr>
            <w:tcW w:w="1529" w:type="dxa"/>
            <w:vAlign w:val="center"/>
            <w:hideMark/>
          </w:tcPr>
          <w:p w14:paraId="6F816CA4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Låg</w:t>
            </w:r>
          </w:p>
        </w:tc>
        <w:tc>
          <w:tcPr>
            <w:tcW w:w="1955" w:type="dxa"/>
            <w:vAlign w:val="center"/>
            <w:hideMark/>
          </w:tcPr>
          <w:p w14:paraId="5331D061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Allvarlig</w:t>
            </w:r>
          </w:p>
        </w:tc>
        <w:tc>
          <w:tcPr>
            <w:tcW w:w="1372" w:type="dxa"/>
            <w:vAlign w:val="center"/>
            <w:hideMark/>
          </w:tcPr>
          <w:p w14:paraId="3913FC5F" w14:textId="77777777" w:rsidR="0003350C" w:rsidRPr="0003350C" w:rsidRDefault="0003350C" w:rsidP="0003350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33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Låg</w:t>
            </w:r>
          </w:p>
        </w:tc>
      </w:tr>
    </w:tbl>
    <w:p w14:paraId="6BEB7422" w14:textId="77777777" w:rsidR="0003350C" w:rsidRPr="0003350C" w:rsidRDefault="0003350C" w:rsidP="000335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Hög Risknivå: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Oacceptabel risk. Åtgärder måste vidtas för att eliminera eller reducera risken innan arbetet påbörjas.</w:t>
      </w:r>
    </w:p>
    <w:p w14:paraId="42D31FC8" w14:textId="77777777" w:rsidR="0003350C" w:rsidRPr="0003350C" w:rsidRDefault="0003350C" w:rsidP="000335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Medel Risknivå: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Risken måste minskas genom kontrollåtgärder.</w:t>
      </w:r>
    </w:p>
    <w:p w14:paraId="387716FF" w14:textId="77777777" w:rsidR="0003350C" w:rsidRPr="0003350C" w:rsidRDefault="0003350C" w:rsidP="000335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Låg Risknivå: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Risken anses acceptabel, men ska ändå övervakas.</w:t>
      </w:r>
    </w:p>
    <w:p w14:paraId="4BB9F839" w14:textId="77777777" w:rsidR="0003350C" w:rsidRP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3. Åtgärder för att Minska Riskerna</w:t>
      </w:r>
    </w:p>
    <w:p w14:paraId="38747667" w14:textId="77777777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Följande åtgärder ska implementeras för att hantera de identifierade riskerna:</w:t>
      </w:r>
    </w:p>
    <w:p w14:paraId="66EF2322" w14:textId="77777777" w:rsidR="0003350C" w:rsidRPr="0003350C" w:rsidRDefault="0003350C" w:rsidP="000335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Verktygshantering och Skyddsutrustning:</w:t>
      </w:r>
    </w:p>
    <w:p w14:paraId="7F23C7C2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All personal ska använda komplett och godkänd personlig skyddsutrustning (PPE), inklusive hjälm med visir, hörselskydd, skyddsbyxor, skyddsskor och handskar.</w:t>
      </w:r>
    </w:p>
    <w:p w14:paraId="1AB359B6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proofErr w:type="spellStart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Röjsågens</w:t>
      </w:r>
      <w:proofErr w:type="spellEnd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funktion och skyddsanordningar ska kontrolleras före varje arbetspass.</w:t>
      </w:r>
    </w:p>
    <w:p w14:paraId="6D8554E2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Rätt typ av skärverktyg (klinga/trimhuvud) ska användas för den specifika arbetsuppgiften.</w:t>
      </w:r>
    </w:p>
    <w:p w14:paraId="2F166407" w14:textId="77777777" w:rsidR="0003350C" w:rsidRPr="0003350C" w:rsidRDefault="0003350C" w:rsidP="000335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Arbetsteknik och Ergonomi:</w:t>
      </w:r>
    </w:p>
    <w:p w14:paraId="09083930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Ergonomisk sele ska alltid användas och vara korrekt inställd för att fördela vikten jämnt.</w:t>
      </w:r>
    </w:p>
    <w:p w14:paraId="1B869558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Arbetsställningar ska varieras för att minska statisk belastning. Regelbundna pauser ska tas för att minska exponering för vibrationer och buller.</w:t>
      </w:r>
    </w:p>
    <w:p w14:paraId="151C1F92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Arbeta med kontrollerade rörelser för att minimera risken för kast av föremål.</w:t>
      </w:r>
    </w:p>
    <w:p w14:paraId="72F3EC44" w14:textId="77777777" w:rsidR="0003350C" w:rsidRPr="0003350C" w:rsidRDefault="0003350C" w:rsidP="000335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Hantering av Omgivning och Tredje Part:</w:t>
      </w:r>
    </w:p>
    <w:p w14:paraId="12BBF0CE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Ett tydligt riskområde (minst 15 meter) ska upprätthållas runt operatören.</w:t>
      </w:r>
    </w:p>
    <w:p w14:paraId="4F11CB4D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Arbetsområdet ska tydligt märkas ut med varningsskyltar och vid behov avspärrningsband, enligt gällande projektplan.</w:t>
      </w:r>
    </w:p>
    <w:p w14:paraId="78B13936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Kontinuerlig och god uppsikt över omgivningen ska hållas för att skydda allmänhet och andra medarbetare.</w:t>
      </w:r>
    </w:p>
    <w:p w14:paraId="41ECD091" w14:textId="77777777" w:rsidR="0003350C" w:rsidRPr="0003350C" w:rsidRDefault="0003350C" w:rsidP="000335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Organisatoriska Åtgärder:</w:t>
      </w:r>
    </w:p>
    <w:p w14:paraId="350A1F92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Ensamarbete ska undvikas. Om det är oundvikligt ska en detaljerad larm- och kommunikationsplan finnas och följas.</w:t>
      </w:r>
    </w:p>
    <w:p w14:paraId="6069F629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Tydliga kommunikationsrutiner, vid behov med radiosamband, ska finnas mellan medarbetare på plats.</w:t>
      </w:r>
    </w:p>
    <w:p w14:paraId="5C155FBB" w14:textId="77777777" w:rsidR="0003350C" w:rsidRPr="0003350C" w:rsidRDefault="0003350C" w:rsidP="0003350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Ett komplett första hjälpen-kit ska finnas lättillgängligt.</w:t>
      </w:r>
    </w:p>
    <w:p w14:paraId="3B0664CC" w14:textId="77777777" w:rsidR="0003350C" w:rsidRPr="0003350C" w:rsidRDefault="0003350C" w:rsidP="0003350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lastRenderedPageBreak/>
        <w:t>4. Uppföljning och Rapportering</w:t>
      </w:r>
    </w:p>
    <w:p w14:paraId="7F55B41B" w14:textId="77777777" w:rsidR="0003350C" w:rsidRPr="0003350C" w:rsidRDefault="0003350C" w:rsidP="000335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Ansvar: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Arbetsledaren ansvarar för att samtliga åtgärder i denna riskanalys implementeras och efterlevs.</w:t>
      </w:r>
    </w:p>
    <w:p w14:paraId="15EB7363" w14:textId="77777777" w:rsidR="0003350C" w:rsidRPr="0003350C" w:rsidRDefault="0003350C" w:rsidP="000335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Granskning: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Denna riskanalys ska ses som ett levande dokument och ska granskas och vid behov uppdateras inför varje nytt projekt eller vid förändrade förhållanden.</w:t>
      </w:r>
    </w:p>
    <w:p w14:paraId="04B64EF2" w14:textId="77777777" w:rsidR="0003350C" w:rsidRPr="0003350C" w:rsidRDefault="0003350C" w:rsidP="000335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b/>
          <w:bCs/>
          <w:kern w:val="0"/>
          <w:lang w:eastAsia="sv-SE"/>
          <w14:ligatures w14:val="none"/>
        </w:rPr>
        <w:t>Rapportering:</w:t>
      </w: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 Alla tillbud och olyckor, oavsett allvarlighetsgrad, ska omedelbart rapporteras enligt CynerG Groups interna system för incidentrapportering.</w:t>
      </w:r>
    </w:p>
    <w:p w14:paraId="60FF534F" w14:textId="77777777" w:rsidR="0003350C" w:rsidRPr="0003350C" w:rsidRDefault="0003350C" w:rsidP="0003350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v-SE"/>
          <w14:ligatures w14:val="none"/>
        </w:rPr>
      </w:pPr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 xml:space="preserve">Genom att systematiskt följa denna riskanalys säkerställer CynerG Group AB en trygg och säker arbetsmiljö vid allt arbete med </w:t>
      </w:r>
      <w:proofErr w:type="spellStart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röjsåg</w:t>
      </w:r>
      <w:proofErr w:type="spellEnd"/>
      <w:r w:rsidRPr="0003350C">
        <w:rPr>
          <w:rFonts w:ascii="Calibri" w:eastAsia="Times New Roman" w:hAnsi="Calibri" w:cs="Calibri"/>
          <w:kern w:val="0"/>
          <w:lang w:eastAsia="sv-SE"/>
          <w14:ligatures w14:val="none"/>
        </w:rPr>
        <w:t>.</w:t>
      </w:r>
    </w:p>
    <w:p w14:paraId="3F02856D" w14:textId="77777777" w:rsidR="00925C7C" w:rsidRPr="0003350C" w:rsidRDefault="00925C7C" w:rsidP="00925C7C">
      <w:pPr>
        <w:rPr>
          <w:rFonts w:ascii="Calibri" w:hAnsi="Calibri" w:cs="Calibri"/>
        </w:rPr>
      </w:pPr>
    </w:p>
    <w:p w14:paraId="5EC57499" w14:textId="77777777" w:rsidR="003F24E5" w:rsidRPr="00CA457E" w:rsidRDefault="003F24E5" w:rsidP="00925C7C">
      <w:pPr>
        <w:rPr>
          <w:rFonts w:ascii="Calibri" w:hAnsi="Calibri" w:cs="Calibri"/>
        </w:rPr>
      </w:pPr>
    </w:p>
    <w:sectPr w:rsidR="003F24E5" w:rsidRPr="00CA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7313" w14:textId="77777777" w:rsidR="0003350C" w:rsidRDefault="0003350C" w:rsidP="00925C7C">
      <w:pPr>
        <w:spacing w:after="0" w:line="240" w:lineRule="auto"/>
      </w:pPr>
      <w:r>
        <w:separator/>
      </w:r>
    </w:p>
  </w:endnote>
  <w:endnote w:type="continuationSeparator" w:id="0">
    <w:p w14:paraId="4EBD6521" w14:textId="77777777" w:rsidR="0003350C" w:rsidRDefault="0003350C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BA17" w14:textId="77777777" w:rsidR="0003350C" w:rsidRDefault="0003350C" w:rsidP="00925C7C">
      <w:pPr>
        <w:spacing w:after="0" w:line="240" w:lineRule="auto"/>
      </w:pPr>
      <w:r>
        <w:separator/>
      </w:r>
    </w:p>
  </w:footnote>
  <w:footnote w:type="continuationSeparator" w:id="0">
    <w:p w14:paraId="24FA4DD7" w14:textId="77777777" w:rsidR="0003350C" w:rsidRDefault="0003350C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FFF9" w14:textId="77777777" w:rsidR="00925C7C" w:rsidRDefault="00302895" w:rsidP="00302895">
    <w:r>
      <w:rPr>
        <w:noProof/>
      </w:rPr>
      <w:drawing>
        <wp:anchor distT="0" distB="0" distL="114300" distR="114300" simplePos="0" relativeHeight="251658240" behindDoc="0" locked="0" layoutInCell="1" allowOverlap="1" wp14:anchorId="54122E86" wp14:editId="588FB24E">
          <wp:simplePos x="0" y="0"/>
          <wp:positionH relativeFrom="margin">
            <wp:posOffset>-417893</wp:posOffset>
          </wp:positionH>
          <wp:positionV relativeFrom="paragraph">
            <wp:posOffset>-233470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550">
      <w:rPr>
        <w:rFonts w:ascii="Calibri" w:hAnsi="Calibri" w:cs="Calibri"/>
        <w:b/>
        <w:bCs/>
        <w:sz w:val="32"/>
        <w:szCs w:val="32"/>
      </w:rPr>
      <w:t xml:space="preserve">CynerG Group </w:t>
    </w:r>
    <w:r>
      <w:rPr>
        <w:rFonts w:ascii="Calibri" w:hAnsi="Calibri" w:cs="Calibri"/>
        <w:b/>
        <w:bCs/>
        <w:sz w:val="32"/>
        <w:szCs w:val="32"/>
      </w:rPr>
      <w:t>AB</w:t>
    </w:r>
    <w:r>
      <w:rPr>
        <w:rFonts w:ascii="Calibri" w:hAnsi="Calibri" w:cs="Calibri"/>
        <w:b/>
        <w:bCs/>
        <w:sz w:val="32"/>
        <w:szCs w:val="32"/>
      </w:rPr>
      <w:tab/>
    </w:r>
    <w:r>
      <w:rPr>
        <w:rFonts w:ascii="Calibri" w:hAnsi="Calibri" w:cs="Calibri"/>
        <w:b/>
        <w:bCs/>
        <w:sz w:val="32"/>
        <w:szCs w:val="32"/>
      </w:rPr>
      <w:tab/>
    </w:r>
    <w:r w:rsidR="003F24E5">
      <w:tab/>
    </w:r>
    <w:r w:rsidR="003F24E5">
      <w:tab/>
      <w:t>2025-01-21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F5D"/>
    <w:multiLevelType w:val="multilevel"/>
    <w:tmpl w:val="0F5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30B40"/>
    <w:multiLevelType w:val="multilevel"/>
    <w:tmpl w:val="B36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73E09"/>
    <w:multiLevelType w:val="multilevel"/>
    <w:tmpl w:val="43D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10C8"/>
    <w:multiLevelType w:val="multilevel"/>
    <w:tmpl w:val="E41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782750">
    <w:abstractNumId w:val="2"/>
  </w:num>
  <w:num w:numId="2" w16cid:durableId="1347095217">
    <w:abstractNumId w:val="11"/>
  </w:num>
  <w:num w:numId="3" w16cid:durableId="1197424351">
    <w:abstractNumId w:val="4"/>
  </w:num>
  <w:num w:numId="4" w16cid:durableId="133960235">
    <w:abstractNumId w:val="3"/>
  </w:num>
  <w:num w:numId="5" w16cid:durableId="1180508257">
    <w:abstractNumId w:val="8"/>
  </w:num>
  <w:num w:numId="6" w16cid:durableId="1825733361">
    <w:abstractNumId w:val="6"/>
  </w:num>
  <w:num w:numId="7" w16cid:durableId="1158035084">
    <w:abstractNumId w:val="7"/>
  </w:num>
  <w:num w:numId="8" w16cid:durableId="1879002424">
    <w:abstractNumId w:val="0"/>
  </w:num>
  <w:num w:numId="9" w16cid:durableId="633028594">
    <w:abstractNumId w:val="9"/>
  </w:num>
  <w:num w:numId="10" w16cid:durableId="1063061289">
    <w:abstractNumId w:val="1"/>
  </w:num>
  <w:num w:numId="11" w16cid:durableId="53941889">
    <w:abstractNumId w:val="5"/>
  </w:num>
  <w:num w:numId="12" w16cid:durableId="1860315988">
    <w:abstractNumId w:val="12"/>
  </w:num>
  <w:num w:numId="13" w16cid:durableId="15082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qwUAZ6mNSSwAAAA="/>
  </w:docVars>
  <w:rsids>
    <w:rsidRoot w:val="00925C7C"/>
    <w:rsid w:val="0003350C"/>
    <w:rsid w:val="000C09A8"/>
    <w:rsid w:val="001F2CFF"/>
    <w:rsid w:val="00212EBD"/>
    <w:rsid w:val="0023717C"/>
    <w:rsid w:val="00302895"/>
    <w:rsid w:val="00343EF3"/>
    <w:rsid w:val="003F24E5"/>
    <w:rsid w:val="0054713E"/>
    <w:rsid w:val="005B3ACE"/>
    <w:rsid w:val="00644646"/>
    <w:rsid w:val="006656FA"/>
    <w:rsid w:val="006E36E8"/>
    <w:rsid w:val="00790080"/>
    <w:rsid w:val="007915E0"/>
    <w:rsid w:val="0079187F"/>
    <w:rsid w:val="00886C26"/>
    <w:rsid w:val="008A2264"/>
    <w:rsid w:val="008B5276"/>
    <w:rsid w:val="008F3DA3"/>
    <w:rsid w:val="008F4207"/>
    <w:rsid w:val="00925C7C"/>
    <w:rsid w:val="0095375E"/>
    <w:rsid w:val="009A40C3"/>
    <w:rsid w:val="00A61074"/>
    <w:rsid w:val="00B02E72"/>
    <w:rsid w:val="00BE24A4"/>
    <w:rsid w:val="00BF7550"/>
    <w:rsid w:val="00C766E9"/>
    <w:rsid w:val="00CA457E"/>
    <w:rsid w:val="00DD6738"/>
    <w:rsid w:val="00E61764"/>
    <w:rsid w:val="00F13C24"/>
    <w:rsid w:val="00F20D27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A062F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591</Words>
  <Characters>3745</Characters>
  <Application>Microsoft Office Word</Application>
  <DocSecurity>0</DocSecurity>
  <Lines>124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</dc:creator>
  <cp:keywords/>
  <dc:description/>
  <cp:lastModifiedBy>Krister Norström</cp:lastModifiedBy>
  <cp:revision>1</cp:revision>
  <dcterms:created xsi:type="dcterms:W3CDTF">2025-07-15T13:51:00Z</dcterms:created>
  <dcterms:modified xsi:type="dcterms:W3CDTF">2025-07-15T13:55:00Z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